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2" w:rsidRDefault="00D30992" w:rsidP="00D30992">
      <w:pPr>
        <w:pStyle w:val="Nagwek"/>
        <w:tabs>
          <w:tab w:val="clear" w:pos="4536"/>
          <w:tab w:val="clear" w:pos="9072"/>
        </w:tabs>
        <w:spacing w:before="20" w:after="80"/>
        <w:jc w:val="center"/>
        <w:rPr>
          <w:b/>
        </w:rPr>
      </w:pPr>
      <w:r>
        <w:rPr>
          <w:b/>
        </w:rPr>
        <w:t>Wybrane nazwy, symbole i określenia dotyczące cech gruntów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127"/>
        <w:gridCol w:w="4961"/>
      </w:tblGrid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Nazwa cechy gruntu</w:t>
            </w:r>
          </w:p>
        </w:tc>
        <w:tc>
          <w:tcPr>
            <w:tcW w:w="2127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Symbol i wzór podstawowy</w:t>
            </w:r>
          </w:p>
        </w:tc>
        <w:tc>
          <w:tcPr>
            <w:tcW w:w="4961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Określenie, wzory pomocniczy</w: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[1]</w:t>
            </w:r>
          </w:p>
        </w:tc>
        <w:tc>
          <w:tcPr>
            <w:tcW w:w="2127" w:type="dxa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[2]</w:t>
            </w:r>
          </w:p>
        </w:tc>
        <w:tc>
          <w:tcPr>
            <w:tcW w:w="4961" w:type="dxa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[3]</w: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Masa próbki gruntu</w:t>
            </w:r>
          </w:p>
        </w:tc>
        <w:tc>
          <w:tcPr>
            <w:tcW w:w="2127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961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t>całkowita masa próbki gruntu z określoną wilgotnością</w: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Masa szkieletu gruntowego</w:t>
            </w:r>
          </w:p>
        </w:tc>
        <w:tc>
          <w:tcPr>
            <w:tcW w:w="2127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10"/>
              </w:rPr>
              <w:object w:dxaOrig="3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5.05pt" o:ole="" fillcolor="window">
                  <v:imagedata r:id="rId4" o:title=""/>
                </v:shape>
                <o:OLEObject Type="Embed" ProgID="Equation.3" ShapeID="_x0000_i1025" DrawAspect="Content" ObjectID="_1486502257" r:id="rId5"/>
              </w:object>
            </w:r>
          </w:p>
        </w:tc>
        <w:tc>
          <w:tcPr>
            <w:tcW w:w="4961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t>masa próbki gruntu wysuszonej do stałej masy w temperaturze 105</w:t>
            </w:r>
            <w:r>
              <w:sym w:font="Symbol" w:char="F0B8"/>
            </w:r>
            <w:r>
              <w:t>110</w:t>
            </w:r>
            <w:r>
              <w:sym w:font="Symbol" w:char="F0B0"/>
            </w:r>
            <w:r>
              <w:t>C</w: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Masa wody w porach gruntu</w:t>
            </w:r>
          </w:p>
        </w:tc>
        <w:tc>
          <w:tcPr>
            <w:tcW w:w="2127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10"/>
              </w:rPr>
              <w:object w:dxaOrig="1120" w:dyaOrig="300">
                <v:shape id="_x0000_i1026" type="#_x0000_t75" style="width:55.7pt;height:15.05pt" o:ole="" fillcolor="window">
                  <v:imagedata r:id="rId6" o:title=""/>
                </v:shape>
                <o:OLEObject Type="Embed" ProgID="Equation.3" ShapeID="_x0000_i1026" DrawAspect="Content" ObjectID="_1486502258" r:id="rId7"/>
              </w:object>
            </w:r>
          </w:p>
        </w:tc>
        <w:tc>
          <w:tcPr>
            <w:tcW w:w="4961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t>masa wody usuniętej z próbki gruntu przez jej suszenie do stałej masy przy temperaturze 105</w:t>
            </w:r>
            <w:r>
              <w:sym w:font="Symbol" w:char="F0B8"/>
            </w:r>
            <w:r>
              <w:t>110</w:t>
            </w:r>
            <w:r>
              <w:sym w:font="Symbol" w:char="F0B0"/>
            </w:r>
            <w:r>
              <w:t>C</w: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Objętość gruntu</w:t>
            </w:r>
          </w:p>
        </w:tc>
        <w:tc>
          <w:tcPr>
            <w:tcW w:w="2127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V</w:t>
            </w:r>
          </w:p>
        </w:tc>
        <w:tc>
          <w:tcPr>
            <w:tcW w:w="4961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t>całkowita objętość próbki gruntu</w: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Objętość szkieletu gruntowego</w:t>
            </w:r>
          </w:p>
        </w:tc>
        <w:tc>
          <w:tcPr>
            <w:tcW w:w="2127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i/>
              </w:rPr>
            </w:pPr>
            <w:r>
              <w:rPr>
                <w:i/>
                <w:position w:val="-26"/>
              </w:rPr>
              <w:object w:dxaOrig="800" w:dyaOrig="600">
                <v:shape id="_x0000_i1027" type="#_x0000_t75" style="width:40.05pt;height:30.05pt" o:ole="" fillcolor="window">
                  <v:imagedata r:id="rId8" o:title=""/>
                </v:shape>
                <o:OLEObject Type="Embed" ProgID="Equation.3" ShapeID="_x0000_i1027" DrawAspect="Content" ObjectID="_1486502259" r:id="rId9"/>
              </w:object>
            </w:r>
          </w:p>
        </w:tc>
        <w:tc>
          <w:tcPr>
            <w:tcW w:w="4961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t xml:space="preserve">objętość cząstek stałych w próbce </w: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Objętość porów gruntu</w:t>
            </w:r>
          </w:p>
        </w:tc>
        <w:tc>
          <w:tcPr>
            <w:tcW w:w="2127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V</w:t>
            </w:r>
            <w:r>
              <w:rPr>
                <w:i/>
                <w:vertAlign w:val="subscript"/>
              </w:rPr>
              <w:t>p</w:t>
            </w:r>
            <w:proofErr w:type="spellEnd"/>
          </w:p>
        </w:tc>
        <w:tc>
          <w:tcPr>
            <w:tcW w:w="4961" w:type="dxa"/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proofErr w:type="spellStart"/>
            <w:r>
              <w:rPr>
                <w:i/>
              </w:rPr>
              <w:t>V</w:t>
            </w:r>
            <w:r>
              <w:rPr>
                <w:i/>
                <w:vertAlign w:val="subscript"/>
              </w:rPr>
              <w:t>p</w:t>
            </w:r>
            <w:proofErr w:type="spellEnd"/>
            <w:r>
              <w:t xml:space="preserve"> = </w:t>
            </w:r>
            <w:r>
              <w:rPr>
                <w:i/>
              </w:rPr>
              <w:t>V</w:t>
            </w:r>
            <w:r>
              <w:t xml:space="preserve"> – </w:t>
            </w:r>
            <w:proofErr w:type="spellStart"/>
            <w:r>
              <w:rPr>
                <w:i/>
              </w:rPr>
              <w:t>V</w:t>
            </w:r>
            <w:r>
              <w:rPr>
                <w:i/>
                <w:vertAlign w:val="subscript"/>
              </w:rPr>
              <w:t>d</w:t>
            </w:r>
            <w:proofErr w:type="spellEnd"/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bottom w:val="nil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Objętość wody w porach gruntu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V</w:t>
            </w:r>
            <w:r>
              <w:rPr>
                <w:i/>
                <w:vertAlign w:val="subscript"/>
              </w:rPr>
              <w:t>w</w:t>
            </w:r>
            <w:proofErr w:type="spellEnd"/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i/>
              </w:rPr>
            </w:pPr>
            <w:r>
              <w:rPr>
                <w:i/>
                <w:position w:val="-26"/>
              </w:rPr>
              <w:object w:dxaOrig="820" w:dyaOrig="600">
                <v:shape id="_x0000_i1028" type="#_x0000_t75" style="width:40.7pt;height:30.05pt" o:ole="" fillcolor="window">
                  <v:imagedata r:id="rId10" o:title=""/>
                </v:shape>
                <o:OLEObject Type="Embed" ProgID="Equation.3" ShapeID="_x0000_i1028" DrawAspect="Content" ObjectID="_1486502260" r:id="rId11"/>
              </w:objec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Gęstość objętościowa gruntu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20"/>
              </w:rPr>
              <w:object w:dxaOrig="620" w:dyaOrig="520">
                <v:shape id="_x0000_i1029" type="#_x0000_t75" style="width:31.3pt;height:26.3pt" o:ole="" fillcolor="window">
                  <v:imagedata r:id="rId12" o:title=""/>
                </v:shape>
                <o:OLEObject Type="Embed" ProgID="Equation.3" ShapeID="_x0000_i1029" DrawAspect="Content" ObjectID="_1486502261" r:id="rId13"/>
              </w:objec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t>stosunek całkowitej masy do całkowitej objętości gruntu, określa się doświadczalnie</w: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Gęstość właściwa szkieletu gruntowego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26"/>
              </w:rPr>
              <w:object w:dxaOrig="800" w:dyaOrig="600">
                <v:shape id="_x0000_i1030" type="#_x0000_t75" style="width:40.05pt;height:30.05pt" o:ole="" fillcolor="window">
                  <v:imagedata r:id="rId14" o:title=""/>
                </v:shape>
                <o:OLEObject Type="Embed" ProgID="Equation.3" ShapeID="_x0000_i1030" DrawAspect="Content" ObjectID="_1486502262" r:id="rId15"/>
              </w:objec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t>stosunek masy szkieletu gruntowego do całkowitej objętości gruntu, określa się doświadczalnie</w: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Wilgotność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26"/>
              </w:rPr>
              <w:object w:dxaOrig="740" w:dyaOrig="600">
                <v:shape id="_x0000_i1031" type="#_x0000_t75" style="width:36.95pt;height:30.05pt" o:ole="" fillcolor="window">
                  <v:imagedata r:id="rId16" o:title=""/>
                </v:shape>
                <o:OLEObject Type="Embed" ProgID="Equation.3" ShapeID="_x0000_i1031" DrawAspect="Content" ObjectID="_1486502263" r:id="rId17"/>
              </w:objec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t>wynik podaje się w wartościach bezwzględnych (lub w %); w przypadku gruntów niespoistych pojęcie wilgotności nie obejmuje wody grawitacyjnej, określa się doświadczalnie</w: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Gęstość objętościowa szkieletu gruntowego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20"/>
              </w:rPr>
              <w:object w:dxaOrig="820" w:dyaOrig="540">
                <v:shape id="_x0000_i1032" type="#_x0000_t75" style="width:40.7pt;height:26.9pt" o:ole="" fillcolor="window">
                  <v:imagedata r:id="rId18" o:title=""/>
                </v:shape>
                <o:OLEObject Type="Embed" ProgID="Equation.3" ShapeID="_x0000_i1032" DrawAspect="Content" ObjectID="_1486502264" r:id="rId19"/>
              </w:objec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rPr>
                <w:position w:val="-20"/>
              </w:rPr>
              <w:object w:dxaOrig="960" w:dyaOrig="520">
                <v:shape id="_x0000_i1033" type="#_x0000_t75" style="width:48.2pt;height:26.3pt" o:ole="" fillcolor="window">
                  <v:imagedata r:id="rId20" o:title=""/>
                </v:shape>
                <o:OLEObject Type="Embed" ProgID="Equation.3" ShapeID="_x0000_i1033" DrawAspect="Content" ObjectID="_1486502265" r:id="rId21"/>
              </w:object>
            </w:r>
            <w:r>
              <w:rPr>
                <w:position w:val="-26"/>
              </w:rPr>
              <w:object w:dxaOrig="2960" w:dyaOrig="600">
                <v:shape id="_x0000_i1034" type="#_x0000_t75" style="width:147.75pt;height:30.05pt" o:ole="" fillcolor="window">
                  <v:imagedata r:id="rId22" o:title=""/>
                </v:shape>
                <o:OLEObject Type="Embed" ProgID="Equation.3" ShapeID="_x0000_i1034" DrawAspect="Content" ObjectID="_1486502266" r:id="rId23"/>
              </w:objec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Porowatość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20"/>
              </w:rPr>
              <w:object w:dxaOrig="639" w:dyaOrig="560">
                <v:shape id="_x0000_i1035" type="#_x0000_t75" style="width:31.95pt;height:28.15pt" o:ole="" fillcolor="window">
                  <v:imagedata r:id="rId24" o:title=""/>
                </v:shape>
                <o:OLEObject Type="Embed" ProgID="Equation.3" ShapeID="_x0000_i1035" DrawAspect="Content" ObjectID="_1486502267" r:id="rId25"/>
              </w:objec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rPr>
                <w:position w:val="-26"/>
              </w:rPr>
              <w:object w:dxaOrig="2780" w:dyaOrig="600">
                <v:shape id="_x0000_i1036" type="#_x0000_t75" style="width:139pt;height:30.05pt" o:ole="" fillcolor="window">
                  <v:imagedata r:id="rId26" o:title=""/>
                </v:shape>
                <o:OLEObject Type="Embed" ProgID="Equation.3" ShapeID="_x0000_i1036" DrawAspect="Content" ObjectID="_1486502268" r:id="rId27"/>
              </w:object>
            </w:r>
            <w:r>
              <w:rPr>
                <w:position w:val="-26"/>
              </w:rPr>
              <w:object w:dxaOrig="1180" w:dyaOrig="600">
                <v:shape id="_x0000_i1037" type="#_x0000_t75" style="width:58.85pt;height:30.05pt" o:ole="" fillcolor="window">
                  <v:imagedata r:id="rId28" o:title=""/>
                </v:shape>
                <o:OLEObject Type="Embed" ProgID="Equation.3" ShapeID="_x0000_i1037" DrawAspect="Content" ObjectID="_1486502269" r:id="rId29"/>
              </w:objec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Wskaźnik porowatości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26"/>
              </w:rPr>
              <w:object w:dxaOrig="639" w:dyaOrig="620">
                <v:shape id="_x0000_i1038" type="#_x0000_t75" style="width:31.95pt;height:31.3pt" o:ole="" fillcolor="window">
                  <v:imagedata r:id="rId30" o:title=""/>
                </v:shape>
                <o:OLEObject Type="Embed" ProgID="Equation.3" ShapeID="_x0000_i1038" DrawAspect="Content" ObjectID="_1486502270" r:id="rId31"/>
              </w:objec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rPr>
                <w:position w:val="-26"/>
              </w:rPr>
              <w:object w:dxaOrig="2740" w:dyaOrig="600">
                <v:shape id="_x0000_i1039" type="#_x0000_t75" style="width:137.1pt;height:30.05pt" o:ole="" fillcolor="window">
                  <v:imagedata r:id="rId32" o:title=""/>
                </v:shape>
                <o:OLEObject Type="Embed" ProgID="Equation.3" ShapeID="_x0000_i1039" DrawAspect="Content" ObjectID="_1486502271" r:id="rId33"/>
              </w:object>
            </w:r>
            <w:r>
              <w:rPr>
                <w:position w:val="-24"/>
              </w:rPr>
              <w:object w:dxaOrig="1180" w:dyaOrig="580">
                <v:shape id="_x0000_i1040" type="#_x0000_t75" style="width:58.85pt;height:28.8pt" o:ole="" fillcolor="window">
                  <v:imagedata r:id="rId34" o:title=""/>
                </v:shape>
                <o:OLEObject Type="Embed" ProgID="Equation.3" ShapeID="_x0000_i1040" DrawAspect="Content" ObjectID="_1486502272" r:id="rId35"/>
              </w:objec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Gęstość objętościowa przy całkowitym nasyceniu porów gruntu wodą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20"/>
              </w:rPr>
              <w:object w:dxaOrig="1939" w:dyaOrig="560">
                <v:shape id="_x0000_i1041" type="#_x0000_t75" style="width:97.05pt;height:28.15pt" o:ole="" fillcolor="window">
                  <v:imagedata r:id="rId36" o:title=""/>
                </v:shape>
                <o:OLEObject Type="Embed" ProgID="Equation.3" ShapeID="_x0000_i1041" DrawAspect="Content" ObjectID="_1486502273" r:id="rId37"/>
              </w:objec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rPr>
                <w:position w:val="-10"/>
              </w:rPr>
              <w:object w:dxaOrig="3000" w:dyaOrig="300">
                <v:shape id="_x0000_i1042" type="#_x0000_t75" style="width:150.25pt;height:15.05pt" o:ole="" fillcolor="window">
                  <v:imagedata r:id="rId38" o:title=""/>
                </v:shape>
                <o:OLEObject Type="Embed" ProgID="Equation.3" ShapeID="_x0000_i1042" DrawAspect="Content" ObjectID="_1486502274" r:id="rId39"/>
              </w:objec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Gęstość objętościowa gruntu z uwzględnieniem wyporu wody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20"/>
              </w:rPr>
              <w:object w:dxaOrig="1460" w:dyaOrig="540">
                <v:shape id="_x0000_i1043" type="#_x0000_t75" style="width:73.25pt;height:26.9pt" o:ole="" fillcolor="window">
                  <v:imagedata r:id="rId40" o:title=""/>
                </v:shape>
                <o:OLEObject Type="Embed" ProgID="Equation.3" ShapeID="_x0000_i1043" DrawAspect="Content" ObjectID="_1486502275" r:id="rId41"/>
              </w:objec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rPr>
                <w:position w:val="-10"/>
              </w:rPr>
              <w:object w:dxaOrig="2640" w:dyaOrig="300">
                <v:shape id="_x0000_i1044" type="#_x0000_t75" style="width:132.1pt;height:15.05pt" o:ole="" fillcolor="window">
                  <v:imagedata r:id="rId42" o:title=""/>
                </v:shape>
                <o:OLEObject Type="Embed" ProgID="Equation.3" ShapeID="_x0000_i1044" DrawAspect="Content" ObjectID="_1486502276" r:id="rId43"/>
              </w:objec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Wilgotność w stanie całkowitego nasycenia porów gruntu wodą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26"/>
              </w:rPr>
              <w:object w:dxaOrig="1380" w:dyaOrig="600">
                <v:shape id="_x0000_i1045" type="#_x0000_t75" style="width:68.85pt;height:30.05pt" o:ole="" fillcolor="window">
                  <v:imagedata r:id="rId44" o:title=""/>
                </v:shape>
                <o:OLEObject Type="Embed" ProgID="Equation.3" ShapeID="_x0000_i1045" DrawAspect="Content" ObjectID="_1486502277" r:id="rId45"/>
              </w:objec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rPr>
                <w:position w:val="-26"/>
              </w:rPr>
              <w:object w:dxaOrig="4000" w:dyaOrig="600">
                <v:shape id="_x0000_i1046" type="#_x0000_t75" style="width:199.7pt;height:30.05pt" o:ole="" fillcolor="window">
                  <v:imagedata r:id="rId46" o:title=""/>
                </v:shape>
                <o:OLEObject Type="Embed" ProgID="Equation.3" ShapeID="_x0000_i1046" DrawAspect="Content" ObjectID="_1486502278" r:id="rId47"/>
              </w:object>
            </w:r>
            <w:r>
              <w:rPr>
                <w:position w:val="-24"/>
              </w:rPr>
              <w:object w:dxaOrig="1160" w:dyaOrig="580">
                <v:shape id="_x0000_i1047" type="#_x0000_t75" style="width:58.25pt;height:28.8pt" o:ole="" fillcolor="window">
                  <v:imagedata r:id="rId48" o:title=""/>
                </v:shape>
                <o:OLEObject Type="Embed" ProgID="Equation.3" ShapeID="_x0000_i1047" DrawAspect="Content" ObjectID="_1486502279" r:id="rId49"/>
              </w:object>
            </w:r>
            <w:r>
              <w:rPr>
                <w:position w:val="-26"/>
              </w:rPr>
              <w:object w:dxaOrig="1120" w:dyaOrig="600">
                <v:shape id="_x0000_i1048" type="#_x0000_t75" style="width:55.7pt;height:30.05pt" o:ole="" fillcolor="window">
                  <v:imagedata r:id="rId50" o:title=""/>
                </v:shape>
                <o:OLEObject Type="Embed" ProgID="Equation.3" ShapeID="_x0000_i1048" DrawAspect="Content" ObjectID="_1486502280" r:id="rId51"/>
              </w:object>
            </w:r>
            <w:r>
              <w:rPr>
                <w:position w:val="-26"/>
              </w:rPr>
              <w:object w:dxaOrig="1420" w:dyaOrig="600">
                <v:shape id="_x0000_i1049" type="#_x0000_t75" style="width:70.75pt;height:30.05pt" o:ole="" fillcolor="window">
                  <v:imagedata r:id="rId52" o:title=""/>
                </v:shape>
                <o:OLEObject Type="Embed" ProgID="Equation.3" ShapeID="_x0000_i1049" DrawAspect="Content" ObjectID="_1486502281" r:id="rId53"/>
              </w:objec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bottom w:val="nil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Stopień wilgotności</w:t>
            </w:r>
          </w:p>
        </w:tc>
        <w:tc>
          <w:tcPr>
            <w:tcW w:w="2127" w:type="dxa"/>
            <w:tcBorders>
              <w:top w:val="single" w:sz="12" w:space="0" w:color="auto"/>
              <w:bottom w:val="nil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26"/>
              </w:rPr>
              <w:object w:dxaOrig="840" w:dyaOrig="580">
                <v:shape id="_x0000_i1050" type="#_x0000_t75" style="width:41.95pt;height:28.8pt" o:ole="" fillcolor="window">
                  <v:imagedata r:id="rId54" o:title=""/>
                </v:shape>
                <o:OLEObject Type="Embed" ProgID="Equation.3" ShapeID="_x0000_i1050" DrawAspect="Content" ObjectID="_1486502282" r:id="rId55"/>
              </w:object>
            </w:r>
            <w:r>
              <w:rPr>
                <w:i/>
              </w:rPr>
              <w:t xml:space="preserve"> </w:t>
            </w:r>
            <w:r>
              <w:sym w:font="Symbol" w:char="F0A3"/>
            </w:r>
            <w:r>
              <w:t xml:space="preserve"> 1</w:t>
            </w:r>
          </w:p>
        </w:tc>
        <w:tc>
          <w:tcPr>
            <w:tcW w:w="4961" w:type="dxa"/>
            <w:tcBorders>
              <w:top w:val="single" w:sz="12" w:space="0" w:color="auto"/>
              <w:bottom w:val="nil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rPr>
                <w:position w:val="-26"/>
              </w:rPr>
              <w:object w:dxaOrig="3920" w:dyaOrig="600">
                <v:shape id="_x0000_i1051" type="#_x0000_t75" style="width:195.95pt;height:30.05pt" o:ole="" fillcolor="window">
                  <v:imagedata r:id="rId56" o:title=""/>
                </v:shape>
                <o:OLEObject Type="Embed" ProgID="Equation.3" ShapeID="_x0000_i1051" DrawAspect="Content" ObjectID="_1486502283" r:id="rId57"/>
              </w:object>
            </w:r>
            <w:r>
              <w:rPr>
                <w:position w:val="-26"/>
              </w:rPr>
              <w:object w:dxaOrig="1160" w:dyaOrig="580">
                <v:shape id="_x0000_i1052" type="#_x0000_t75" style="width:58.25pt;height:28.8pt" o:ole="" fillcolor="window">
                  <v:imagedata r:id="rId58" o:title=""/>
                </v:shape>
                <o:OLEObject Type="Embed" ProgID="Equation.3" ShapeID="_x0000_i1052" DrawAspect="Content" ObjectID="_1486502284" r:id="rId59"/>
              </w:objec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Stopień zagęszczenia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26"/>
              </w:rPr>
              <w:object w:dxaOrig="1380" w:dyaOrig="600">
                <v:shape id="_x0000_i1053" type="#_x0000_t75" style="width:68.85pt;height:30.05pt" o:ole="" fillcolor="window">
                  <v:imagedata r:id="rId60" o:title=""/>
                </v:shape>
                <o:OLEObject Type="Embed" ProgID="Equation.3" ShapeID="_x0000_i1053" DrawAspect="Content" ObjectID="_1486502285" r:id="rId61"/>
              </w:objec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r>
              <w:t>stosuje się tylko do gruntów niespoistych</w:t>
            </w:r>
          </w:p>
        </w:tc>
      </w:tr>
      <w:tr w:rsidR="00D30992" w:rsidTr="009614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t>Stopień plastyczności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</w:pPr>
            <w:r>
              <w:rPr>
                <w:position w:val="-26"/>
              </w:rPr>
              <w:object w:dxaOrig="1219" w:dyaOrig="600">
                <v:shape id="_x0000_i1054" type="#_x0000_t75" style="width:60.75pt;height:30.05pt" o:ole="" fillcolor="window">
                  <v:imagedata r:id="rId62" o:title=""/>
                </v:shape>
                <o:OLEObject Type="Embed" ProgID="Equation.3" ShapeID="_x0000_i1054" DrawAspect="Content" ObjectID="_1486502286" r:id="rId63"/>
              </w:objec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proofErr w:type="spellStart"/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P</w:t>
            </w:r>
            <w:proofErr w:type="spellEnd"/>
            <w:r>
              <w:t xml:space="preserve"> – granica plastyczności;</w:t>
            </w:r>
          </w:p>
          <w:p w:rsidR="00D30992" w:rsidRDefault="00D30992" w:rsidP="0096141F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</w:pPr>
            <w:proofErr w:type="spellStart"/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L</w:t>
            </w:r>
            <w:proofErr w:type="spellEnd"/>
            <w:r>
              <w:t xml:space="preserve"> – granica płynności</w:t>
            </w:r>
          </w:p>
        </w:tc>
      </w:tr>
    </w:tbl>
    <w:p w:rsidR="00386F7E" w:rsidRDefault="00386F7E" w:rsidP="00D30992"/>
    <w:sectPr w:rsidR="00386F7E" w:rsidSect="00D30992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0992"/>
    <w:rsid w:val="00386F7E"/>
    <w:rsid w:val="00D3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30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309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Irek</cp:lastModifiedBy>
  <cp:revision>1</cp:revision>
  <dcterms:created xsi:type="dcterms:W3CDTF">2015-02-26T23:29:00Z</dcterms:created>
  <dcterms:modified xsi:type="dcterms:W3CDTF">2015-02-26T23:31:00Z</dcterms:modified>
</cp:coreProperties>
</file>